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6.EE.5-9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1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3840"/>
        <w:gridCol w:w="1590"/>
        <w:gridCol w:w="3720"/>
        <w:tblGridChange w:id="0">
          <w:tblGrid>
            <w:gridCol w:w="2025"/>
            <w:gridCol w:w="3840"/>
            <w:gridCol w:w="1590"/>
            <w:gridCol w:w="3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Examples/Sentences/Visuals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two things are equal to each other (the left side is equal to the right side).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expression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there are a combination of variables, constants, and coefficients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inequality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 relationship between two expressions that are not equal, often written with the symbols &gt;,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, &lt;, and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u w:val="single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that mean greater than, greater than or equal, less than, less than or equal, respectively.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 than or equal to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A symbol used to indicate one number is smaller than or the same as another, with the smaller number given first. (For example 5 ≤ 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greater than or equal 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highlight w:val="white"/>
                <w:rtl w:val="0"/>
              </w:rPr>
              <w:t xml:space="preserve">A symbol used to indicate one number is bigger or the same as another, with the bigger number given first. (For example 10 ≥ 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closed circle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(at least/at most)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a value is equal to the given number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276475" cy="4826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open circle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(more than/less than)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a value is not equal to the given number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905000" cy="457200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owe/below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Words that tell you to subtract numbers to the given number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exceed/profit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Words the tell you to add numbers to the given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number line (graph)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visual representation of the solution to an inequality or equation.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