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hanging="27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NAME: _________________________ 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sz w:val="22"/>
          <w:szCs w:val="22"/>
          <w:rtl w:val="0"/>
        </w:rPr>
        <w:t xml:space="preserve">☺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Warm-Up TRACKER </w:t>
      </w: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ab/>
        <w:tab/>
        <w:t xml:space="preserve">DATE: ___________</w:t>
      </w:r>
    </w:p>
    <w:tbl>
      <w:tblPr>
        <w:tblStyle w:val="Table1"/>
        <w:bidi w:val="0"/>
        <w:tblW w:w="1152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gridCol w:w="1425"/>
        <w:tblGridChange w:id="0">
          <w:tblGrid>
            <w:gridCol w:w="10095"/>
            <w:gridCol w:w="14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WARM UP ANSWER – WRITTEN IN COMPLETE SENTENCES: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**DON’T KNOW THE ANSWER? TRY YOUR BEST BUT AT LEAST WRITE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THE QUESTION DOWN SO YOU CAN ANSWER IT DURING REVIEW**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TEACHER CHECK: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WARM-UP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EXPECTATIONS: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SEATED, SILENT, SOLO TIME.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52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gridCol w:w="1440"/>
        <w:tblGridChange w:id="0">
          <w:tblGrid>
            <w:gridCol w:w="10080"/>
            <w:gridCol w:w="14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WARM UP ANSWER – WRITTEN IN COMPLETE SENTENCES: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**DON’T KNOW THE ANSWER? TRY YOUR BEST BUT AT LEAST WRITE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THE QUESTION DOWN SO YOU CAN ANSWER IT DURING REVIEW**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TEACHER CHECK: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114300</wp:posOffset>
                      </wp:positionV>
                      <wp:extent cx="4876800" cy="8509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12363" y="3353280"/>
                                <a:ext cx="4867274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 FIRST EXPECTATIONS: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SEATED, SILENT, SOLO TIME.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HAVE A QUESTION DURING THIS TIME?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FIRST</w:t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– LOOK BACK AT YOUR NOTES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SECOND</w:t>
                                  </w: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– RAISE YOUR HAND &amp; WAIT PATIENTLY FOR MS. Yorkgitis.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114300</wp:posOffset>
                      </wp:positionV>
                      <wp:extent cx="4876800" cy="8509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6800" cy="850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BI-WEEKLY GRADE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: 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________%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5840" w:w="12240"/>
      <w:pgMar w:bottom="273.6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